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59" w:lineRule="auto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475</w:t>
      </w:r>
      <w:r>
        <w:rPr>
          <w:rFonts w:ascii="Times New Roman" w:eastAsia="Times New Roman" w:hAnsi="Times New Roman" w:cs="Times New Roman"/>
          <w:sz w:val="28"/>
          <w:szCs w:val="28"/>
        </w:rPr>
        <w:t>-260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 w:line="259" w:lineRule="auto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86MS0061-01-2025-000881-51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прекращении производства по делу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10 марта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Сургутского судебного района города окружного значения Сургута Ханты-Мансийского автономного округа – Югры Омельченко Т.Р.,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производства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Сургута к </w:t>
      </w:r>
      <w:r>
        <w:rPr>
          <w:rFonts w:ascii="Times New Roman" w:eastAsia="Times New Roman" w:hAnsi="Times New Roman" w:cs="Times New Roman"/>
          <w:sz w:val="28"/>
          <w:szCs w:val="28"/>
        </w:rPr>
        <w:t>Гелеверя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Валерию Петровичу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неосновательного обогащения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ст. 232.4 ГПК РФ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определил: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Принять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отказ от иска.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гражданскому делу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Сургута к </w:t>
      </w:r>
      <w:r>
        <w:rPr>
          <w:rFonts w:ascii="Times New Roman" w:eastAsia="Times New Roman" w:hAnsi="Times New Roman" w:cs="Times New Roman"/>
          <w:sz w:val="28"/>
          <w:szCs w:val="28"/>
        </w:rPr>
        <w:t>Гелеверя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Валери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Петрович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неосновательного обогащения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прекратить.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заявлению лиц, участвующих в деле, их представителей или в случае подачи частной жалобы по делу, рассматриваемому в порядке упрощенного производства, суд составляет мотивированное определение.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о составлении мотивированного определения может быть подано в течение пяти дней со дня подписания резолютивной части определения суда по делу, рассмотренному в порядке упрощенного производства.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определение может быть подана частная жалоба в Сургутский городской суд Ханты-Мансийского автономного округа – Югры в течение пятнадцати дней через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со дня его принятия, а случае составления мотивированного определения суда по заявлению лиц, участвующих в деле, их представителей – со дня принятия определения в окончательной форме.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6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2-</w:t>
      </w:r>
      <w:r>
        <w:rPr>
          <w:rFonts w:ascii="Times New Roman" w:eastAsia="Times New Roman" w:hAnsi="Times New Roman" w:cs="Times New Roman"/>
        </w:rPr>
        <w:t>475</w:t>
      </w:r>
      <w:r>
        <w:rPr>
          <w:rFonts w:ascii="Times New Roman" w:eastAsia="Times New Roman" w:hAnsi="Times New Roman" w:cs="Times New Roman"/>
        </w:rPr>
        <w:t>-2606/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